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Calibri" w:hAnsi="Calibri"/>
          <w:b/>
          <w:i w:val="0"/>
          <w:color w:val="111111"/>
          <w:sz w:val="38"/>
          <w:spacing w:val="28"/>
        </w:rPr>
        <w:t>KIRK POPELAS</w:t>
      </w:r>
    </w:p>
    <w:p>
      <w:pPr>
        <w:spacing w:after="0"/>
      </w:pPr>
      <w:r>
        <w:rPr>
          <w:rFonts w:ascii="Calibri" w:hAnsi="Calibri"/>
          <w:b w:val="0"/>
          <w:i w:val="0"/>
          <w:color w:val="1F3A5F"/>
          <w:sz w:val="19"/>
          <w:spacing w:val="10"/>
        </w:rPr>
        <w:t>Software Engineer  ·  Bot Detection &amp; Challenge-Response Systems</w:t>
      </w:r>
    </w:p>
    <w:p>
      <w:pPr>
        <w:spacing w:after="40"/>
      </w:pPr>
      <w:r>
        <w:rPr>
          <w:rFonts w:ascii="Calibri" w:hAnsi="Calibri"/>
          <w:b w:val="0"/>
          <w:i w:val="0"/>
          <w:color w:val="666666"/>
          <w:sz w:val="17"/>
        </w:rPr>
        <w:t>kirkpopelas51@gmail.com   ·   kirkpopelas.netlify.app   ·   github.com/kirkpopelas</w:t>
      </w:r>
    </w:p>
    <w:p>
      <w:pPr>
        <w:spacing w:after="40" w:line="238"/>
      </w:pPr>
      <w:r>
        <w:rPr>
          <w:rFonts w:ascii="Calibri" w:hAnsi="Calibri"/>
          <w:b w:val="0"/>
          <w:i w:val="0"/>
          <w:color w:val="222222"/>
          <w:sz w:val="18"/>
        </w:rPr>
        <w:t xml:space="preserve">Software engineer working on challenge-response and bot-detection systems across every layer — transport fingerprinting, cryptographic proof-of-work payloads, computer-vision challenges, and browser runtime instrumentation. Direct hands-on experience with Shape/F5, PerimeterX, DataDome, Akamai, Imperva/Incapsula, Kasada, Forter and ThreatMetrix, alongside reverse-engineering and detection tooling built in Go. </w:t>
      </w:r>
      <w:r>
        <w:rPr>
          <w:rFonts w:ascii="Calibri" w:hAnsi="Calibri"/>
          <w:b/>
          <w:i w:val="0"/>
          <w:color w:val="222222"/>
          <w:sz w:val="18"/>
        </w:rPr>
        <w:t>Shipping production Go since 2022 — 550,000+ lines across 25+ systems.</w:t>
      </w:r>
    </w:p>
    <w:p>
      <w:pPr>
        <w:pBdr>
          <w:bottom w:val="single" w:color="1F3A5F" w:sz="6" w:space="3"/>
        </w:pBdr>
        <w:spacing w:after="76" w:before="96"/>
      </w:pPr>
      <w:r>
        <w:rPr>
          <w:rFonts w:ascii="Calibri" w:hAnsi="Calibri"/>
          <w:b/>
          <w:i w:val="0"/>
          <w:color w:val="1F3A5F"/>
          <w:sz w:val="17"/>
          <w:caps w:val="1"/>
          <w:spacing w:val="22"/>
        </w:rPr>
        <w:t>Engineering Experience</w:t>
      </w:r>
    </w:p>
    <w:p>
      <w:pPr>
        <w:tabs>
          <w:tab w:pos="9026" w:val="right"/>
        </w:tabs>
        <w:spacing w:after="26" w:before="68"/>
      </w:pPr>
      <w:r>
        <w:rPr>
          <w:rFonts w:ascii="Calibri" w:hAnsi="Calibri"/>
          <w:b/>
          <w:i w:val="0"/>
          <w:color w:val="111111"/>
          <w:sz w:val="19"/>
        </w:rPr>
        <w:t>Software Engineer</w:t>
      </w:r>
      <w:r>
        <w:rPr>
          <w:rFonts w:ascii="Calibri" w:hAnsi="Calibri"/>
          <w:b w:val="0"/>
          <w:i w:val="0"/>
          <w:color w:val="666666"/>
          <w:sz w:val="19"/>
        </w:rPr>
        <w:t xml:space="preserve">  —  </w:t>
      </w:r>
      <w:r>
        <w:rPr>
          <w:rFonts w:ascii="Calibri" w:hAnsi="Calibri"/>
          <w:b/>
          <w:i w:val="0"/>
          <w:color w:val="1F3A5F"/>
          <w:sz w:val="19"/>
        </w:rPr>
        <w:t>Trickle Software Solutions</w:t>
      </w:r>
      <w:r>
        <w:rPr>
          <w:rFonts w:ascii="Calibri" w:hAnsi="Calibri"/>
          <w:b w:val="0"/>
          <w:i w:val="0"/>
          <w:color w:val="222222"/>
          <w:sz w:val="18"/>
        </w:rPr>
        <w:tab/>
      </w:r>
      <w:r>
        <w:rPr>
          <w:rFonts w:ascii="Calibri" w:hAnsi="Calibri"/>
          <w:b w:val="0"/>
          <w:i w:val="0"/>
          <w:color w:val="666666"/>
          <w:sz w:val="17"/>
        </w:rPr>
        <w:t>Oct 2025 – Present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>Sole architect of a cross-platform desktop automation platform — a Go engine (</w:t>
      </w:r>
      <w:r>
        <w:rPr>
          <w:rFonts w:ascii="Calibri" w:hAnsi="Calibri"/>
          <w:b/>
          <w:i w:val="0"/>
          <w:color w:val="222222"/>
          <w:sz w:val="18"/>
        </w:rPr>
        <w:t>130,000+ lines</w:t>
      </w:r>
      <w:r>
        <w:rPr>
          <w:rFonts w:ascii="Calibri" w:hAnsi="Calibri"/>
          <w:b w:val="0"/>
          <w:i w:val="0"/>
          <w:color w:val="222222"/>
          <w:sz w:val="18"/>
        </w:rPr>
        <w:t>) and a React 19 interface (35,000+ lines) in a Node/Electron shell. The interface talks to the engine over a local TLS channel rather than shell IPC; the engine is supervised with bounded backing-off restarts and a custom TCP authentication protocol.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>Designed the task engine: a single authoritative state holder with typed event pipelines fanned out over a persistent WebSocket, per-task cancellation, and per-site rate limiting — so thousands of concurrent tasks report progress without the interface polling.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>Built a pluggable integration layer — eight independent integrations behind one handler interface, each a complete flow against a different target’s authentication, session, and payment behavior, with a dedicated harness for exercising flows in isolation.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>Built challenge-response infrastructure end to end — hCaptcha proof-of-work payload analysis, reCAPTCHA solving, a YOLOv8 tile classifier trained on a custom CVAT annotation pipeline served by an on-device inference runtime bundled with the app, a token pool decoupling acquisition from consumption, and origin-scoped routing through a local proxy.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>Engineered the protocol layer: custom uTLS/HTTP2 fingerprint control, browser signature emulation, cryptographic session storage, dynamic proxy rotation, and an integrity layer detecting SSL interception and clock manipulation.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>Instrumented headless Chrome over the Chrome DevTools Protocol with scoped Fetch-domain interception and warm worker pools, sized using Little's Law capacity modeling.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>Shipped the release pipeline: signed and notarized macOS builds with entitlements, obfuscated shell code, the engine binary embedded into the installer, CI-driven releases across three operating systems, and a staged auto-update flow with a separate hotfix channel.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>Built a runtime integrity layer detecting attached debuggers, network interception, clock manipulation, and screen capture — reporting and quarantining rather than failing silently, with log output redacted at the boundary so diagnostics never leak session material.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 xml:space="preserve">Sustained </w:t>
      </w:r>
      <w:r>
        <w:rPr>
          <w:rFonts w:ascii="Calibri" w:hAnsi="Calibri"/>
          <w:b/>
          <w:i w:val="0"/>
          <w:color w:val="222222"/>
          <w:sz w:val="18"/>
        </w:rPr>
        <w:t>3,500+ simultaneous operations</w:t>
      </w:r>
      <w:r>
        <w:rPr>
          <w:rFonts w:ascii="Calibri" w:hAnsi="Calibri"/>
          <w:b w:val="0"/>
          <w:i w:val="0"/>
          <w:color w:val="222222"/>
          <w:sz w:val="18"/>
        </w:rPr>
        <w:t xml:space="preserve"> through semaphore-bounded worker pools and state-machine workflows; shipped a signed, obfuscated build pipeline for macOS, Windows, and Linux.</w:t>
      </w:r>
    </w:p>
    <w:p>
      <w:pPr>
        <w:tabs>
          <w:tab w:pos="9026" w:val="right"/>
        </w:tabs>
        <w:spacing w:after="26" w:before="68"/>
      </w:pPr>
      <w:r>
        <w:rPr>
          <w:rFonts w:ascii="Calibri" w:hAnsi="Calibri"/>
          <w:b/>
          <w:i w:val="0"/>
          <w:color w:val="111111"/>
          <w:sz w:val="19"/>
        </w:rPr>
        <w:t>Software Developer</w:t>
      </w:r>
      <w:r>
        <w:rPr>
          <w:rFonts w:ascii="Calibri" w:hAnsi="Calibri"/>
          <w:b w:val="0"/>
          <w:i w:val="0"/>
          <w:color w:val="666666"/>
          <w:sz w:val="19"/>
        </w:rPr>
        <w:t xml:space="preserve">  —  </w:t>
      </w:r>
      <w:r>
        <w:rPr>
          <w:rFonts w:ascii="Calibri" w:hAnsi="Calibri"/>
          <w:b/>
          <w:i w:val="0"/>
          <w:color w:val="1F3A5F"/>
          <w:sz w:val="19"/>
        </w:rPr>
        <w:t>Stellar</w:t>
      </w:r>
      <w:r>
        <w:rPr>
          <w:rFonts w:ascii="Calibri" w:hAnsi="Calibri"/>
          <w:b w:val="0"/>
          <w:i w:val="0"/>
          <w:color w:val="222222"/>
          <w:sz w:val="18"/>
        </w:rPr>
        <w:tab/>
      </w:r>
      <w:r>
        <w:rPr>
          <w:rFonts w:ascii="Calibri" w:hAnsi="Calibri"/>
          <w:b w:val="0"/>
          <w:i w:val="0"/>
          <w:color w:val="666666"/>
          <w:sz w:val="17"/>
        </w:rPr>
        <w:t>2022 – 2023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>Engineer on a 6–8 person team building a high-performance e-commerce automation product.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>Built checkout modules, the core HTTP automation layer, and a major retailer integration handling authentication and payment flows — working at the protocol level on captcha and anti-bot challenge handling under sustained concurrent load.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 w:val="0"/>
          <w:i w:val="0"/>
          <w:color w:val="222222"/>
          <w:sz w:val="18"/>
        </w:rPr>
        <w:t>Ported production checkout automation out of Java into Go.</w:t>
      </w:r>
    </w:p>
    <w:p>
      <w:pPr>
        <w:pBdr>
          <w:bottom w:val="single" w:color="1F3A5F" w:sz="6" w:space="3"/>
        </w:pBdr>
        <w:spacing w:after="76" w:before="96"/>
      </w:pPr>
      <w:r>
        <w:rPr>
          <w:rFonts w:ascii="Calibri" w:hAnsi="Calibri"/>
          <w:b/>
          <w:i w:val="0"/>
          <w:color w:val="1F3A5F"/>
          <w:sz w:val="17"/>
          <w:caps w:val="1"/>
          <w:spacing w:val="22"/>
        </w:rPr>
        <w:t>Reverse Engineering &amp; Detection Research</w:t>
      </w:r>
    </w:p>
    <w:p>
      <w:pPr>
        <w:spacing w:after="40" w:line="238"/>
      </w:pPr>
      <w:r>
        <w:rPr>
          <w:rFonts w:ascii="Calibri" w:hAnsi="Calibri"/>
          <w:b w:val="0"/>
          <w:i/>
          <w:color w:val="666666"/>
          <w:sz w:val="17"/>
        </w:rPr>
        <w:t>Representative teardowns of public commercial anti-bot products. Client-specific detail and working payloads omitted.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/>
          <w:i w:val="0"/>
          <w:color w:val="222222"/>
          <w:sz w:val="18"/>
        </w:rPr>
        <w:t>Bytecode VM recovery (Shape/F5).</w:t>
      </w:r>
      <w:r>
        <w:rPr>
          <w:rFonts w:ascii="Calibri" w:hAnsi="Calibri"/>
          <w:b w:val="0"/>
          <w:i w:val="0"/>
          <w:color w:val="222222"/>
          <w:sz w:val="18"/>
        </w:rPr>
        <w:t xml:space="preserve"> Mapped a per-seed, self-modifying WASM-backed bytecode interpreter with table-driven opcode dispatch, recovering interpreter structure rather than per-session artifacts, and rebuilt the cryptographic path as clean primitives validated against published known-answer test vectors.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/>
          <w:i w:val="0"/>
          <w:color w:val="222222"/>
          <w:sz w:val="18"/>
        </w:rPr>
        <w:t>Correcting an accepted analysis (PerimeterX).</w:t>
      </w:r>
      <w:r>
        <w:rPr>
          <w:rFonts w:ascii="Calibri" w:hAnsi="Calibri"/>
          <w:b w:val="0"/>
          <w:i w:val="0"/>
          <w:color w:val="222222"/>
          <w:sz w:val="18"/>
        </w:rPr>
        <w:t xml:space="preserve"> Overturned the prevailing model of a scored challenge signal — including my own earlier conclusion — through line-level tracing of a deobfuscated bundle, and separated stable structure from build-fragile constants that must be re-derived rather than pinned. Method generalized across multiple production deployments.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/>
          <w:i w:val="0"/>
          <w:color w:val="222222"/>
          <w:sz w:val="18"/>
        </w:rPr>
        <w:t>Runtime fidelity over reimplementation (hCaptcha).</w:t>
      </w:r>
      <w:r>
        <w:rPr>
          <w:rFonts w:ascii="Calibri" w:hAnsi="Calibri"/>
          <w:b w:val="0"/>
          <w:i w:val="0"/>
          <w:color w:val="222222"/>
          <w:sz w:val="18"/>
        </w:rPr>
        <w:t xml:space="preserve"> Where proof-of-work changes shape every build, built an execution environment faithful enough to run vendor logic directly across a strict process boundary — modelling runtime and device surfaces to the depth they are actually probed, and weighing headless fidelity against the fingerprint cost of a full browser.</w:t>
      </w:r>
    </w:p>
    <w:p>
      <w:pPr>
        <w:pBdr>
          <w:bottom w:val="single" w:color="1F3A5F" w:sz="6" w:space="3"/>
        </w:pBdr>
        <w:spacing w:after="76" w:before="96"/>
      </w:pPr>
      <w:r>
        <w:rPr>
          <w:rFonts w:ascii="Calibri" w:hAnsi="Calibri"/>
          <w:b/>
          <w:i w:val="0"/>
          <w:color w:val="1F3A5F"/>
          <w:sz w:val="17"/>
          <w:caps w:val="1"/>
          <w:spacing w:val="22"/>
        </w:rPr>
        <w:t>Projects &amp; Security Tooling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/>
          <w:i w:val="0"/>
          <w:color w:val="222222"/>
          <w:sz w:val="18"/>
        </w:rPr>
        <w:t>tlsprint</w:t>
      </w:r>
      <w:r>
        <w:rPr>
          <w:rFonts w:ascii="Calibri" w:hAnsi="Calibri"/>
          <w:b w:val="0"/>
          <w:i w:val="0"/>
          <w:color w:val="222222"/>
          <w:sz w:val="18"/>
        </w:rPr>
        <w:t xml:space="preserve"> — Zero-dependency Go CLI that parses TLS ClientHellos, computes JA3/JA4 fingerprints, and scores handshakes against reference client profiles to surface inconsistencies. </w:t>
      </w:r>
      <w:r>
        <w:rPr>
          <w:rFonts w:ascii="Calibri" w:hAnsi="Calibri"/>
          <w:b w:val="0"/>
          <w:i w:val="0"/>
          <w:color w:val="222222"/>
          <w:sz w:val="18"/>
        </w:rPr>
        <w:t>Open source.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/>
          <w:i w:val="0"/>
          <w:color w:val="222222"/>
          <w:sz w:val="18"/>
        </w:rPr>
        <w:t>h2fp</w:t>
      </w:r>
      <w:r>
        <w:rPr>
          <w:rFonts w:ascii="Calibri" w:hAnsi="Calibri"/>
          <w:b w:val="0"/>
          <w:i w:val="0"/>
          <w:color w:val="222222"/>
          <w:sz w:val="18"/>
        </w:rPr>
        <w:t xml:space="preserve"> — Go HTTP/2 client fingerprinter producing Akamai-format fingerprints from SETTINGS frame values, window updates, and priority ordering. </w:t>
      </w:r>
      <w:r>
        <w:rPr>
          <w:rFonts w:ascii="Calibri" w:hAnsi="Calibri"/>
          <w:b w:val="0"/>
          <w:i w:val="0"/>
          <w:color w:val="222222"/>
          <w:sz w:val="18"/>
        </w:rPr>
        <w:t>Open source.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/>
          <w:i w:val="0"/>
          <w:color w:val="222222"/>
          <w:sz w:val="18"/>
        </w:rPr>
        <w:t>logsentry</w:t>
      </w:r>
      <w:r>
        <w:rPr>
          <w:rFonts w:ascii="Calibri" w:hAnsi="Calibri"/>
          <w:b w:val="0"/>
          <w:i w:val="0"/>
          <w:color w:val="222222"/>
          <w:sz w:val="18"/>
        </w:rPr>
        <w:t xml:space="preserve"> — Go log-based intrusion detection covering brute force, credential stuffing, impossible travel, and path enumeration. </w:t>
      </w:r>
      <w:r>
        <w:rPr>
          <w:rFonts w:ascii="Calibri" w:hAnsi="Calibri"/>
          <w:b w:val="0"/>
          <w:i w:val="0"/>
          <w:color w:val="222222"/>
          <w:sz w:val="18"/>
        </w:rPr>
        <w:t>Open source.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/>
          <w:i w:val="0"/>
          <w:color w:val="222222"/>
          <w:sz w:val="18"/>
        </w:rPr>
        <w:t>gorecon</w:t>
      </w:r>
      <w:r>
        <w:rPr>
          <w:rFonts w:ascii="Calibri" w:hAnsi="Calibri"/>
          <w:b w:val="0"/>
          <w:i w:val="0"/>
          <w:color w:val="222222"/>
          <w:sz w:val="18"/>
        </w:rPr>
        <w:t xml:space="preserve"> — Offline, read-only Go binary source-recovery pipeline for malware analysis: symbol and moduledata recovery, type reconstruction, Ghidra decompilation, MITRE ATT&amp;CK capability mapping, and YARA rule generation. Never executes the sample or touches the network.</w:t>
      </w:r>
    </w:p>
    <w:p>
      <w:pPr>
        <w:spacing w:after="34" w:line="238"/>
        <w:ind w:left="170" w:hanging="170"/>
      </w:pPr>
      <w:r>
        <w:rPr>
          <w:rFonts w:ascii="Calibri" w:hAnsi="Calibri"/>
          <w:b w:val="0"/>
          <w:i w:val="0"/>
          <w:color w:val="1F3A5F"/>
          <w:sz w:val="18"/>
        </w:rPr>
        <w:t xml:space="preserve">•  </w:t>
      </w:r>
      <w:r>
        <w:rPr>
          <w:rFonts w:ascii="Calibri" w:hAnsi="Calibri"/>
          <w:b/>
          <w:i w:val="0"/>
          <w:color w:val="222222"/>
          <w:sz w:val="18"/>
        </w:rPr>
        <w:t>LifeLenz</w:t>
      </w:r>
      <w:r>
        <w:rPr>
          <w:rFonts w:ascii="Calibri" w:hAnsi="Calibri"/>
          <w:b w:val="0"/>
          <w:i w:val="0"/>
          <w:color w:val="222222"/>
          <w:sz w:val="18"/>
        </w:rPr>
        <w:t xml:space="preserve"> — Production AI platform built for a client: Go/FastHTTP backend on Firestore, React/TypeScript frontend, Stripe subscription billing, email verification, and admin dashboards; deployed on a VPS with nginx and Let’s Encrypt.</w:t>
      </w:r>
    </w:p>
    <w:p>
      <w:pPr>
        <w:pBdr>
          <w:bottom w:val="single" w:color="1F3A5F" w:sz="6" w:space="3"/>
        </w:pBdr>
        <w:spacing w:after="76" w:before="96"/>
      </w:pPr>
      <w:r>
        <w:rPr>
          <w:rFonts w:ascii="Calibri" w:hAnsi="Calibri"/>
          <w:b/>
          <w:i w:val="0"/>
          <w:color w:val="1F3A5F"/>
          <w:sz w:val="17"/>
          <w:caps w:val="1"/>
          <w:spacing w:val="22"/>
        </w:rPr>
        <w:t>IT &amp; Security Operations</w:t>
      </w:r>
    </w:p>
    <w:p>
      <w:pPr>
        <w:tabs>
          <w:tab w:pos="9026" w:val="right"/>
        </w:tabs>
        <w:spacing w:after="18"/>
      </w:pPr>
      <w:r>
        <w:rPr>
          <w:rFonts w:ascii="Calibri" w:hAnsi="Calibri"/>
          <w:b/>
          <w:i w:val="0"/>
          <w:color w:val="111111"/>
          <w:sz w:val="18"/>
        </w:rPr>
        <w:t>IT Support Analyst</w:t>
      </w:r>
      <w:r>
        <w:rPr>
          <w:rFonts w:ascii="Calibri" w:hAnsi="Calibri"/>
          <w:b w:val="0"/>
          <w:i w:val="0"/>
          <w:color w:val="666666"/>
          <w:sz w:val="18"/>
        </w:rPr>
        <w:t xml:space="preserve">  —  </w:t>
      </w:r>
      <w:r>
        <w:rPr>
          <w:rFonts w:ascii="Calibri" w:hAnsi="Calibri"/>
          <w:b w:val="0"/>
          <w:i w:val="0"/>
          <w:color w:val="333333"/>
          <w:sz w:val="18"/>
        </w:rPr>
        <w:t>CBTS</w:t>
      </w:r>
      <w:r>
        <w:rPr>
          <w:rFonts w:ascii="Calibri" w:hAnsi="Calibri"/>
          <w:b w:val="0"/>
          <w:i w:val="0"/>
          <w:color w:val="222222"/>
          <w:sz w:val="18"/>
        </w:rPr>
        <w:tab/>
      </w:r>
      <w:r>
        <w:rPr>
          <w:rFonts w:ascii="Calibri" w:hAnsi="Calibri"/>
          <w:b w:val="0"/>
          <w:i w:val="0"/>
          <w:color w:val="666666"/>
          <w:sz w:val="17"/>
        </w:rPr>
        <w:t>May 2025 – Jul 2025</w:t>
      </w:r>
    </w:p>
    <w:p>
      <w:pPr>
        <w:tabs>
          <w:tab w:pos="9026" w:val="right"/>
        </w:tabs>
        <w:spacing w:after="18"/>
      </w:pPr>
      <w:r>
        <w:rPr>
          <w:rFonts w:ascii="Calibri" w:hAnsi="Calibri"/>
          <w:b/>
          <w:i w:val="0"/>
          <w:color w:val="111111"/>
          <w:sz w:val="18"/>
        </w:rPr>
        <w:t>Network Administrator</w:t>
      </w:r>
      <w:r>
        <w:rPr>
          <w:rFonts w:ascii="Calibri" w:hAnsi="Calibri"/>
          <w:b w:val="0"/>
          <w:i w:val="0"/>
          <w:color w:val="666666"/>
          <w:sz w:val="18"/>
        </w:rPr>
        <w:t xml:space="preserve">  —  </w:t>
      </w:r>
      <w:r>
        <w:rPr>
          <w:rFonts w:ascii="Calibri" w:hAnsi="Calibri"/>
          <w:b w:val="0"/>
          <w:i w:val="0"/>
          <w:color w:val="333333"/>
          <w:sz w:val="18"/>
        </w:rPr>
        <w:t>Westmoreland Mechanical Testing &amp; Research</w:t>
      </w:r>
      <w:r>
        <w:rPr>
          <w:rFonts w:ascii="Calibri" w:hAnsi="Calibri"/>
          <w:b w:val="0"/>
          <w:i w:val="0"/>
          <w:color w:val="222222"/>
          <w:sz w:val="18"/>
        </w:rPr>
        <w:tab/>
      </w:r>
      <w:r>
        <w:rPr>
          <w:rFonts w:ascii="Calibri" w:hAnsi="Calibri"/>
          <w:b w:val="0"/>
          <w:i w:val="0"/>
          <w:color w:val="666666"/>
          <w:sz w:val="17"/>
        </w:rPr>
        <w:t>Jul 2024 – Nov 2024</w:t>
      </w:r>
    </w:p>
    <w:p>
      <w:pPr>
        <w:tabs>
          <w:tab w:pos="9026" w:val="right"/>
        </w:tabs>
        <w:spacing w:after="18"/>
      </w:pPr>
      <w:r>
        <w:rPr>
          <w:rFonts w:ascii="Calibri" w:hAnsi="Calibri"/>
          <w:b/>
          <w:i w:val="0"/>
          <w:color w:val="111111"/>
          <w:sz w:val="18"/>
        </w:rPr>
        <w:t>IT Support</w:t>
      </w:r>
      <w:r>
        <w:rPr>
          <w:rFonts w:ascii="Calibri" w:hAnsi="Calibri"/>
          <w:b w:val="0"/>
          <w:i w:val="0"/>
          <w:color w:val="666666"/>
          <w:sz w:val="18"/>
        </w:rPr>
        <w:t xml:space="preserve">  —  </w:t>
      </w:r>
      <w:r>
        <w:rPr>
          <w:rFonts w:ascii="Calibri" w:hAnsi="Calibri"/>
          <w:b w:val="0"/>
          <w:i w:val="0"/>
          <w:color w:val="333333"/>
          <w:sz w:val="18"/>
        </w:rPr>
        <w:t>The University of Akron</w:t>
      </w:r>
      <w:r>
        <w:rPr>
          <w:rFonts w:ascii="Calibri" w:hAnsi="Calibri"/>
          <w:b w:val="0"/>
          <w:i w:val="0"/>
          <w:color w:val="222222"/>
          <w:sz w:val="18"/>
        </w:rPr>
        <w:tab/>
      </w:r>
      <w:r>
        <w:rPr>
          <w:rFonts w:ascii="Calibri" w:hAnsi="Calibri"/>
          <w:b w:val="0"/>
          <w:i w:val="0"/>
          <w:color w:val="666666"/>
          <w:sz w:val="17"/>
        </w:rPr>
        <w:t>Jan 2024 – May 2024</w:t>
      </w:r>
    </w:p>
    <w:p>
      <w:pPr>
        <w:tabs>
          <w:tab w:pos="9026" w:val="right"/>
        </w:tabs>
        <w:spacing w:after="18"/>
      </w:pPr>
      <w:r>
        <w:rPr>
          <w:rFonts w:ascii="Calibri" w:hAnsi="Calibri"/>
          <w:b/>
          <w:i w:val="0"/>
          <w:color w:val="111111"/>
          <w:sz w:val="18"/>
        </w:rPr>
        <w:t>IT Support Specialist</w:t>
      </w:r>
      <w:r>
        <w:rPr>
          <w:rFonts w:ascii="Calibri" w:hAnsi="Calibri"/>
          <w:b w:val="0"/>
          <w:i w:val="0"/>
          <w:color w:val="666666"/>
          <w:sz w:val="18"/>
        </w:rPr>
        <w:t xml:space="preserve">  —  </w:t>
      </w:r>
      <w:r>
        <w:rPr>
          <w:rFonts w:ascii="Calibri" w:hAnsi="Calibri"/>
          <w:b w:val="0"/>
          <w:i w:val="0"/>
          <w:color w:val="333333"/>
          <w:sz w:val="18"/>
        </w:rPr>
        <w:t>Waynesburg University</w:t>
      </w:r>
      <w:r>
        <w:rPr>
          <w:rFonts w:ascii="Calibri" w:hAnsi="Calibri"/>
          <w:b w:val="0"/>
          <w:i w:val="0"/>
          <w:color w:val="222222"/>
          <w:sz w:val="18"/>
        </w:rPr>
        <w:tab/>
      </w:r>
      <w:r>
        <w:rPr>
          <w:rFonts w:ascii="Calibri" w:hAnsi="Calibri"/>
          <w:b w:val="0"/>
          <w:i w:val="0"/>
          <w:color w:val="666666"/>
          <w:sz w:val="17"/>
        </w:rPr>
        <w:t>Oct 2019 – May 2020</w:t>
      </w:r>
    </w:p>
    <w:p>
      <w:pPr>
        <w:spacing w:after="30" w:before="30" w:line="238"/>
      </w:pPr>
      <w:r>
        <w:rPr>
          <w:rFonts w:ascii="Calibri" w:hAnsi="Calibri"/>
          <w:b w:val="0"/>
          <w:i w:val="0"/>
          <w:color w:val="333333"/>
          <w:sz w:val="18"/>
        </w:rPr>
        <w:t>Proofpoint email threat detection and incident response; server and virtualization administration; endpoint provisioning via Intune and Autopilot; security control evaluation aligned to NIST CSF, ISO 27001, and PCI-DSS.</w:t>
      </w:r>
    </w:p>
    <w:p>
      <w:pPr>
        <w:pBdr>
          <w:bottom w:val="single" w:color="1F3A5F" w:sz="6" w:space="3"/>
        </w:pBdr>
        <w:spacing w:after="76" w:before="96"/>
      </w:pPr>
      <w:r>
        <w:rPr>
          <w:rFonts w:ascii="Calibri" w:hAnsi="Calibri"/>
          <w:b/>
          <w:i w:val="0"/>
          <w:color w:val="1F3A5F"/>
          <w:sz w:val="17"/>
          <w:caps w:val="1"/>
          <w:spacing w:val="22"/>
        </w:rPr>
        <w:t>Skills</w:t>
      </w:r>
    </w:p>
    <w:p>
      <w:pPr>
        <w:spacing w:after="30" w:line="238"/>
        <w:ind w:left="0"/>
      </w:pPr>
      <w:r>
        <w:rPr>
          <w:rFonts w:ascii="Calibri" w:hAnsi="Calibri"/>
          <w:b/>
          <w:i w:val="0"/>
          <w:color w:val="1F3A5F"/>
          <w:sz w:val="18"/>
        </w:rPr>
        <w:t xml:space="preserve">Languages:  </w:t>
      </w:r>
      <w:r>
        <w:rPr>
          <w:rFonts w:ascii="Calibri" w:hAnsi="Calibri"/>
          <w:b w:val="0"/>
          <w:i w:val="0"/>
          <w:color w:val="333333"/>
          <w:sz w:val="18"/>
        </w:rPr>
        <w:t>Go (production since 2022), TypeScript / JavaScript, Python; Java — ported production checkout automation out of Java into Go</w:t>
      </w:r>
    </w:p>
    <w:p>
      <w:pPr>
        <w:spacing w:after="30" w:line="238"/>
        <w:ind w:left="0"/>
      </w:pPr>
      <w:r>
        <w:rPr>
          <w:rFonts w:ascii="Calibri" w:hAnsi="Calibri"/>
          <w:b/>
          <w:i w:val="0"/>
          <w:color w:val="1F3A5F"/>
          <w:sz w:val="18"/>
        </w:rPr>
        <w:t xml:space="preserve">Detection &amp; challenge systems:  </w:t>
      </w:r>
      <w:r>
        <w:rPr>
          <w:rFonts w:ascii="Calibri" w:hAnsi="Calibri"/>
          <w:b w:val="0"/>
          <w:i w:val="0"/>
          <w:color w:val="333333"/>
          <w:sz w:val="18"/>
        </w:rPr>
        <w:t>hCaptcha / reCAPTCHA internals, proof-of-work payload analysis, JA3/JA4, HTTP/2 fingerprinting, uTLS, Chrome DevTools Protocol; hands-on with Shape/F5, PerimeterX/HUMAN, DataDome, Akamai Bot Manager, Imperva/Incapsula, Kasada, Forter, ThreatMetrix, Queue-it</w:t>
      </w:r>
    </w:p>
    <w:p>
      <w:pPr>
        <w:spacing w:after="30" w:line="238"/>
        <w:ind w:left="0"/>
      </w:pPr>
      <w:r>
        <w:rPr>
          <w:rFonts w:ascii="Calibri" w:hAnsi="Calibri"/>
          <w:b/>
          <w:i w:val="0"/>
          <w:color w:val="1F3A5F"/>
          <w:sz w:val="18"/>
        </w:rPr>
        <w:t xml:space="preserve">Reverse engineering:  </w:t>
      </w:r>
      <w:r>
        <w:rPr>
          <w:rFonts w:ascii="Calibri" w:hAnsi="Calibri"/>
          <w:b w:val="0"/>
          <w:i w:val="0"/>
          <w:color w:val="333333"/>
          <w:sz w:val="18"/>
        </w:rPr>
        <w:t>WASM and bytecode VM analysis, JavaScript deobfuscation, instrumented sandboxes, Ghidra, Go binary recovery, YARA, MITRE ATT&amp;CK mapping</w:t>
      </w:r>
    </w:p>
    <w:p>
      <w:pPr>
        <w:spacing w:after="30" w:line="238"/>
        <w:ind w:left="0"/>
      </w:pPr>
      <w:r>
        <w:rPr>
          <w:rFonts w:ascii="Calibri" w:hAnsi="Calibri"/>
          <w:b/>
          <w:i w:val="0"/>
          <w:color w:val="1F3A5F"/>
          <w:sz w:val="18"/>
        </w:rPr>
        <w:t xml:space="preserve">ML / computer vision:  </w:t>
      </w:r>
      <w:r>
        <w:rPr>
          <w:rFonts w:ascii="Calibri" w:hAnsi="Calibri"/>
          <w:b w:val="0"/>
          <w:i w:val="0"/>
          <w:color w:val="333333"/>
          <w:sz w:val="18"/>
        </w:rPr>
        <w:t>YOLOv8 training pipelines, CVAT annotation, DINOv3 frozen-backbone probes, open-weight VLM evaluation, scikit-learn</w:t>
      </w:r>
    </w:p>
    <w:p>
      <w:pPr>
        <w:spacing w:after="30" w:line="238"/>
        <w:ind w:left="0"/>
      </w:pPr>
      <w:r>
        <w:rPr>
          <w:rFonts w:ascii="Calibri" w:hAnsi="Calibri"/>
          <w:b/>
          <w:i w:val="0"/>
          <w:color w:val="1F3A5F"/>
          <w:sz w:val="18"/>
        </w:rPr>
        <w:t xml:space="preserve">Systems &amp; product:  </w:t>
      </w:r>
      <w:r>
        <w:rPr>
          <w:rFonts w:ascii="Calibri" w:hAnsi="Calibri"/>
          <w:b w:val="0"/>
          <w:i w:val="0"/>
          <w:color w:val="333333"/>
          <w:sz w:val="18"/>
        </w:rPr>
        <w:t>High-concurrency Go, WebSocket and TCP protocols, proxy infrastructure, multi-tenant SaaS, React 19, Electron, Node, Vite, Stripe, Firestore, SQLite, nginx</w:t>
      </w:r>
    </w:p>
    <w:p>
      <w:pPr>
        <w:spacing w:after="30" w:line="238"/>
        <w:ind w:left="0"/>
      </w:pPr>
      <w:r>
        <w:rPr>
          <w:rFonts w:ascii="Calibri" w:hAnsi="Calibri"/>
          <w:b/>
          <w:i w:val="0"/>
          <w:color w:val="1F3A5F"/>
          <w:sz w:val="18"/>
        </w:rPr>
        <w:t xml:space="preserve">Security operations:  </w:t>
      </w:r>
      <w:r>
        <w:rPr>
          <w:rFonts w:ascii="Calibri" w:hAnsi="Calibri"/>
          <w:b w:val="0"/>
          <w:i w:val="0"/>
          <w:color w:val="333333"/>
          <w:sz w:val="18"/>
        </w:rPr>
        <w:t>NIST CSF, ISO 27001, PCI-DSS, Proofpoint, Azure / Intune</w:t>
      </w:r>
    </w:p>
    <w:p>
      <w:pPr>
        <w:pBdr>
          <w:bottom w:val="single" w:color="1F3A5F" w:sz="6" w:space="3"/>
        </w:pBdr>
        <w:spacing w:after="76" w:before="96"/>
      </w:pPr>
      <w:r>
        <w:rPr>
          <w:rFonts w:ascii="Calibri" w:hAnsi="Calibri"/>
          <w:b/>
          <w:i w:val="0"/>
          <w:color w:val="1F3A5F"/>
          <w:sz w:val="17"/>
          <w:caps w:val="1"/>
          <w:spacing w:val="22"/>
        </w:rPr>
        <w:t>Education</w:t>
      </w:r>
    </w:p>
    <w:p>
      <w:pPr>
        <w:tabs>
          <w:tab w:pos="9026" w:val="right"/>
        </w:tabs>
        <w:spacing w:after="0"/>
      </w:pPr>
      <w:r>
        <w:rPr>
          <w:rFonts w:ascii="Calibri" w:hAnsi="Calibri"/>
          <w:b/>
          <w:i w:val="0"/>
          <w:color w:val="111111"/>
          <w:sz w:val="18"/>
        </w:rPr>
        <w:t>B.S., Computer Information Systems — Cybersecurity</w:t>
      </w:r>
      <w:r>
        <w:rPr>
          <w:rFonts w:ascii="Calibri" w:hAnsi="Calibri"/>
          <w:b w:val="0"/>
          <w:i w:val="0"/>
          <w:color w:val="666666"/>
          <w:sz w:val="18"/>
        </w:rPr>
        <w:t xml:space="preserve">  —  </w:t>
      </w:r>
      <w:r>
        <w:rPr>
          <w:rFonts w:ascii="Calibri" w:hAnsi="Calibri"/>
          <w:b w:val="0"/>
          <w:i w:val="0"/>
          <w:color w:val="333333"/>
          <w:sz w:val="18"/>
        </w:rPr>
        <w:t>The University of Akron</w:t>
      </w:r>
    </w:p>
    <w:sectPr w:rsidR="00FC693F" w:rsidRPr="0006063C" w:rsidSect="00034616">
      <w:pgSz w:w="12240" w:h="15840"/>
      <w:pgMar w:top="648" w:right="863" w:bottom="648" w:left="8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